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3174-HH</w:t>
        <w:t xml:space="preserve">.  </w:t>
      </w:r>
      <w:r>
        <w:rPr>
          <w:b/>
        </w:rPr>
        <w:t xml:space="preserve">Coordination of services</w:t>
      </w:r>
    </w:p>
    <w:p>
      <w:pPr>
        <w:jc w:val="both"/>
        <w:spacing w:before="100" w:after="100"/>
        <w:ind w:start="360"/>
        <w:ind w:firstLine="360"/>
      </w:pPr>
      <w:r>
        <w:rPr/>
      </w:r>
      <w:r>
        <w:rPr/>
      </w:r>
      <w:r>
        <w:t xml:space="preserve">For the purposes of maximizing coverage for prescription drugs for members who are enrolled in the MaineCare program, the department may provide prescription drug services for MaineCare members through the elderly low-cost drug program established under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100"/>
        <w:ind w:start="360"/>
      </w:pPr>
      <w:r>
        <w:rPr>
          <w:b w:val="true"/>
          <w:i/>
          <w:caps w:val="true"/>
        </w:rPr>
        <w:t xml:space="preserve">Revisor's Note: </w:t>
      </w:r>
      <w:r>
        <w:t>§3174-HH.  MaineCare reimbursement for ambulance services (As enacted by PL  2005, c. 386, Pt. FF, §1 is REALLOCATED TO TITLE 22, SECTION 3174-JJ)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§6 (RAL). PL 2005, c. 386, §FF1 (NEW). PL 2005, c. 401,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§3174-HH. Coordination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§3174-HH. Coordination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§3174-HH. COORDINATION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