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3174-LL</w:t>
        <w:t xml:space="preserve">.  </w:t>
      </w:r>
      <w:r>
        <w:rPr>
          <w:b/>
        </w:rPr>
        <w:t xml:space="preserve">Inpatient services reimbursement based on diagnosis-related groups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inpatient services under the MaineCare program an amount per discharge that is based on diagnosis-related groups modeled on the system used by the federal Medicare program.  The new diagnosis-related groups payment system must be budget neutral, based on MaineCare hospital payments for the year prior to the year of implementation.  The new payment system must be implemented for each noncritical access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§3174-LL. Inpatient services reimbursement based on diagnosis-related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§3174-LL. Inpatient services reimbursement based on diagnosis-related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§3174-LL. INPATIENT SERVICES REIMBURSEMENT BASED ON DIAGNOSIS-RELATED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