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3174-NN</w:t>
        <w:t xml:space="preserve">.  </w:t>
      </w:r>
      <w:r>
        <w:rPr>
          <w:b/>
        </w:rPr>
        <w:t xml:space="preserve">Inpatient services reimbursement for critical access hospitals based on diagnosis-related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§5 (NEW). PL 2011, c. 657, Pt. H, §2 (RP). PL 2011, c. 657, Pt. H,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§3174-NN. Inpatient services reimbursement for critical access hospitals based on diagnosis-related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§3174-NN. Inpatient services reimbursement for critical access hospitals based on diagnosis-related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§3174-NN. INPATIENT SERVICES REIMBURSEMENT FOR CRITICAL ACCESS HOSPITALS BASED ON DIAGNOSIS-RELATED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