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§3174-QQ. Care for children with life-threatening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§3174-QQ. CARE FOR CHILDREN WITH LIFE-THREATENING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