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3174-VV</w:t>
        <w:t xml:space="preserve">.  </w:t>
      </w:r>
      <w:r>
        <w:rPr>
          <w:b/>
        </w:rPr>
        <w:t xml:space="preserve">Methadone reimbursement limitations</w:t>
      </w:r>
    </w:p>
    <w:p>
      <w:pPr>
        <w:jc w:val="both"/>
        <w:spacing w:before="100" w:after="100"/>
        <w:ind w:start="360"/>
      </w:pPr>
      <w:r>
        <w:rPr>
          <w:b/>
        </w:rPr>
        <w:t>(REALLOCATED FROM TITLE 22, SECTION 3174-UU)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2017, c. 407, Pt. A, §78 (AMD). PL 2019, c. 4,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§3174-VV. Methadone reimbursement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§3174-VV. Methadone reimbursement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§3174-VV. METHADONE REIMBURSEMENT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