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Subsequent review following changes in project</w:t>
      </w:r>
    </w:p>
    <w:p>
      <w:pPr>
        <w:jc w:val="both"/>
        <w:spacing w:before="100" w:after="100"/>
        <w:ind w:start="360"/>
        <w:ind w:firstLine="360"/>
      </w:pPr>
      <w:r>
        <w:rPr/>
      </w:r>
      <w:r>
        <w:rPr/>
      </w:r>
      <w:r>
        <w:t xml:space="preserve">When a certificate of need has been issued and changes occur as specified in this section, a subsequent review is required.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Criteria for subsequent review.</w:t>
        <w:t xml:space="preserve"> </w:t>
      </w:r>
      <w:r>
        <w:t xml:space="preserve"> </w:t>
      </w:r>
      <w:r>
        <w:t xml:space="preserve">The following activities require subsequent review and approval if the department has previously issued a certificate of need and one or more of the following circumstances occur within 3 years after the approved activity is undertaken:</w:t>
      </w:r>
    </w:p>
    <w:p>
      <w:pPr>
        <w:jc w:val="both"/>
        <w:spacing w:before="100" w:after="0"/>
        <w:ind w:start="720"/>
      </w:pPr>
      <w:r>
        <w:rPr/>
        <w:t>A</w:t>
        <w:t xml:space="preserve">.  </w:t>
      </w:r>
      <w:r>
        <w:rPr/>
      </w:r>
      <w:r>
        <w:t xml:space="preserve">There is a significant change in financing;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There is a change affecting the licensed or certified bed capacity as approved in the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is a change involving the addition or termination of the health services proposed to be rendered;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is a change in the site or the location of the proposed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There is a substantial change proposed in the design of the health care facility or the type of construction.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Procedures for subsequent review.</w:t>
        <w:t xml:space="preserve"> </w:t>
      </w:r>
      <w:r>
        <w:t xml:space="preserve"> </w:t>
      </w:r>
      <w:r>
        <w:t xml:space="preserve">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pPr>
        <w:jc w:val="both"/>
        <w:spacing w:before="100" w:after="0"/>
        <w:ind w:start="720"/>
      </w:pPr>
      <w:r>
        <w:rPr/>
        <w:t>A</w:t>
        <w:t xml:space="preserve">.  </w:t>
      </w:r>
      <w:r>
        <w:rPr/>
      </w:r>
      <w:r>
        <w:t xml:space="preserve">The nature of the proposed change;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rationale for the change including, where appropriate, an explanation of why the change was not set forth in the original application or letter of intent;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Other pertinent detail subject to the procedures and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§331. Subsequent review following changes in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Subsequent review following changes in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§331. SUBSEQUENT REVIEW FOLLOWING CHANGES IN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