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3479-A</w:t>
        <w:t xml:space="preserve">.  </w:t>
      </w:r>
      <w:r>
        <w:rPr>
          <w:b/>
        </w:rPr>
        <w:t xml:space="preserve">Immunity from liability</w:t>
      </w:r>
    </w:p>
    <w:p>
      <w:pPr>
        <w:jc w:val="both"/>
        <w:spacing w:before="100" w:after="0"/>
        <w:ind w:start="360"/>
        <w:ind w:firstLine="360"/>
      </w:pPr>
      <w:r>
        <w:rPr>
          <w:b/>
        </w:rPr>
        <w:t>1</w:t>
        <w:t xml:space="preserve">.  </w:t>
      </w:r>
      <w:r>
        <w:rPr>
          <w:b/>
        </w:rPr>
        <w:t xml:space="preserve">Reporting and proceedings.</w:t>
        <w:t xml:space="preserve"> </w:t>
      </w:r>
      <w:r>
        <w:t xml:space="preserve"> </w:t>
      </w:r>
      <w:r>
        <w:t xml:space="preserve">A person participating in good faith in reporting under this subchapter, or in a related adult protection investigation or proceeding, is immune from any civil liability that might otherwise result from these actions, including, but not limited to, any civil liability that might otherwise arise under state or local laws or rules regarding confidentiality of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§14 (AMD).]</w:t>
      </w:r>
    </w:p>
    <w:p>
      <w:pPr>
        <w:jc w:val="both"/>
        <w:spacing w:before="100" w:after="0"/>
        <w:ind w:start="360"/>
        <w:ind w:firstLine="360"/>
      </w:pPr>
      <w:r>
        <w:rPr>
          <w:b/>
        </w:rPr>
        <w:t>2</w:t>
        <w:t xml:space="preserve">.  </w:t>
      </w:r>
      <w:r>
        <w:rPr>
          <w:b/>
        </w:rPr>
        <w:t xml:space="preserve">Presumption of good faith.</w:t>
        <w:t xml:space="preserve"> </w:t>
      </w:r>
      <w:r>
        <w:t xml:space="preserve"> </w:t>
      </w:r>
      <w:r>
        <w:t xml:space="preserve">In a proceeding regarding immunity from liability, there shall be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§E2 (NEW). PL 2003, c. 653,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§3479-A.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§3479-A.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§3479-A.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