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§349-A. COMPLIANCE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