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350-B</w:t>
        <w:t xml:space="preserve">.  </w:t>
      </w:r>
      <w:r>
        <w:rPr>
          <w:b/>
        </w:rPr>
        <w:t xml:space="preserve">Federal funding</w:t>
      </w:r>
    </w:p>
    <w:p>
      <w:pPr>
        <w:jc w:val="both"/>
        <w:spacing w:before="100" w:after="100"/>
        <w:ind w:start="360"/>
      </w:pPr>
      <w:r>
        <w:rPr>
          <w:b/>
        </w:rPr>
        <w:t>(REALLOCATED FROM TITLE 22, SECTION 352)</w:t>
      </w:r>
    </w:p>
    <w:p>
      <w:pPr>
        <w:jc w:val="both"/>
        <w:spacing w:before="100" w:after="100"/>
        <w:ind w:start="360"/>
        <w:ind w:firstLine="360"/>
      </w:pPr>
      <w:r>
        <w:rPr/>
      </w:r>
      <w:r>
        <w:rPr/>
      </w:r>
      <w:r>
        <w:t xml:space="preserve">The department is authorized to accept any federal funds to be used for the purposes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§350-B. Federal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§350-B. Federal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§350-B. FEDERAL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