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3768</w:t>
        <w:t xml:space="preserve">.  </w:t>
      </w:r>
      <w:r>
        <w:rPr>
          <w:b/>
        </w:rPr>
        <w:t xml:space="preserve">Fraud in obtaining aid, civil recovery</w:t>
      </w:r>
    </w:p>
    <w:p>
      <w:pPr>
        <w:jc w:val="both"/>
        <w:spacing w:before="100" w:after="100"/>
        <w:ind w:start="360"/>
        <w:ind w:firstLine="360"/>
      </w:pPr>
      <w:r>
        <w:rPr/>
      </w:r>
      <w:r>
        <w:rPr/>
      </w:r>
      <w:r>
        <w:t xml:space="preserve">Any sums paid to or in behalf of any person under </w:t>
      </w:r>
      <w:r>
        <w:t>sections 3762</w:t>
      </w:r>
      <w:r>
        <w:t xml:space="preserve"> to </w:t>
      </w:r>
      <w:r>
        <w:t>3765</w:t>
      </w:r>
      <w:r>
        <w:t xml:space="preserve">, as a result of any false statement, misrepresentation or concealment of assets or income, may be recovered in a civil action brought by the department against the person to whom such money was paid.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§3768. Fraud in obtaining aid, civil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§3768. Fraud in obtaining aid, civil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§3768. FRAUD IN OBTAINING AID, CIVIL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