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3890</w:t>
        <w:t xml:space="preserve">.  </w:t>
      </w:r>
      <w:r>
        <w:rPr>
          <w:b/>
        </w:rPr>
        <w:t xml:space="preserve">Annual report; audit</w:t>
      </w:r>
    </w:p>
    <w:p>
      <w:pPr>
        <w:jc w:val="both"/>
        <w:spacing w:before="100" w:after="100"/>
        <w:ind w:start="360"/>
        <w:ind w:firstLine="360"/>
      </w:pPr>
      <w:r>
        <w:rPr/>
      </w:r>
      <w:r>
        <w:rPr/>
      </w:r>
      <w:r>
        <w:t xml:space="preserve">By February 15th, the board shall provide an annual report and an annual independent audit of its activities to the Governor, the joint standing committee of the Legislature having jurisdiction over human resources matters and the public.  The annual report must provide a summary of the fund for the previous fiscal year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§3890.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§3890.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§3890.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