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4010-E</w:t>
        <w:t xml:space="preserve">.  </w:t>
      </w:r>
      <w:r>
        <w:rPr>
          <w:b/>
        </w:rPr>
        <w:t xml:space="preserve">Office of Child and Family Services report</w:t>
      </w:r>
    </w:p>
    <w:p>
      <w:pPr>
        <w:jc w:val="both"/>
        <w:spacing w:before="100" w:after="100"/>
        <w:ind w:start="360"/>
        <w:ind w:firstLine="360"/>
      </w:pPr>
      <w:r>
        <w:rPr/>
      </w:r>
      <w:r>
        <w:rPr/>
      </w:r>
      <w:r>
        <w:t xml:space="preserve">The Office of Child and Family Services shall submit a report to the joint standing committee of the Legislature having jurisdiction over health and human services matters at least every 3 months.  Each quarterly report shall describe the department's efforts to protect the State's children and may include but is not limited to prevention efforts; training programs; development and implementation of strategic plans, priorities and initiatives; data reports; staffing updates; child placements; implementation of requirements in prior enacted bills or budgets; interactions with citizen review panels established pursuant to the federal Children's Justice Act, 42 United States Code, Section 5106a; and any other subject matter requested by the joint standing committee.</w:t>
      </w:r>
      <w:r>
        <w:t xml:space="preserve">  </w:t>
      </w:r>
      <w:r xmlns:wp="http://schemas.openxmlformats.org/drawingml/2010/wordprocessingDrawing" xmlns:w15="http://schemas.microsoft.com/office/word/2012/wordml">
        <w:rPr>
          <w:rFonts w:ascii="Arial" w:hAnsi="Arial" w:cs="Arial"/>
          <w:sz w:val="22"/>
          <w:szCs w:val="22"/>
        </w:rPr>
        <w:t xml:space="preserve">[PL 2023, c. 261,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§4010-E. Office of Child and Family Services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§4010-E. Office of Child and Family Services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§4010-E. OFFICE OF CHILD AND FAMILY SERVICES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