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§4059. REINSTATEMENT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