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§4099-H. EMERGENCY SHELTER FAMILY HOMES FOR YOUTH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