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4262</w:t>
        <w:t xml:space="preserve">.  </w:t>
      </w:r>
      <w:r>
        <w:rPr>
          <w:b/>
        </w:rPr>
        <w:t xml:space="preserve">Oversight; dispute resolution; enforcement - Article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administration and operation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the rules of the interstate commission and shall take all actions necessary and appropriate to effectuate the compact's purposes and intent.  The compact and its rules supersede state law, rules or regulations to the extent of any conflict.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interstate commission is entitled to receive service of process in any action in which the validity of a compact provision or rule is the issue for which a judicial determination has been sought and has standing to intervene in any proceedings. Failure to provide service of process to the interstate commission renders any judgment, order or other determination, however so captioned or classified, void as to the interstate commission, this chapter and bylaws or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interstate commission has the authority to resolve disputes.</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adopt a rule providing for both mediation and binding dispute resolution for disputes among compacting states. The costs of the mediation or dispute resolution are the responsibility of the parties to the dispute.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Enforcement.</w:t>
        <w:t xml:space="preserve"> </w:t>
      </w:r>
      <w:r>
        <w:t xml:space="preserve"> </w:t>
      </w:r>
      <w:r>
        <w:t xml:space="preserve">If the interstate commission determines that a member state has defaulted in the performance of its obligations or responsibilities under this compact or the interstate commission's bylaws or rules, the interstate commission may:</w:t>
      </w:r>
    </w:p>
    <w:p>
      <w:pPr>
        <w:jc w:val="both"/>
        <w:spacing w:before="100" w:after="0"/>
        <w:ind w:start="720"/>
      </w:pPr>
      <w:r>
        <w:rPr/>
        <w:t>A</w:t>
        <w:t xml:space="preserve">.  </w:t>
      </w:r>
      <w:r>
        <w:rPr/>
      </w:r>
      <w:r>
        <w:t xml:space="preserve">Provide remedial training and specific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Provide written notice to the defaulting state and other member states of the nature of the default and the means of curing the default. The interstate commission shall specify the conditions by which the defaulting state must cure its default;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By majority vote of the members, initiate against a defaulting member state legal action in the United States District Court for the District of Columbia or, at the discretion of the interstate commission, in the federal district court where the interstate commission has its principal office, to enforce compliance with the provisions of the compact or the interstate commisson's bylaws or rules. The relief sought may include both injunctive relief and damages. In the event judicial enforcement is necessary, the prevailing party must be awarded all costs of the litigation including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Avail itself of any other remedies available under state law or the regulation of official or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§4262. Oversight; dispute resolution; enforcement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§4262. Oversight; dispute resolution; enforcement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§4262. OVERSIGHT; DISPUTE RESOLUTION; ENFORCEMENT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