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4326</w:t>
        <w:t xml:space="preserve">.  </w:t>
      </w:r>
      <w:r>
        <w:rPr>
          <w:b/>
        </w:rPr>
        <w:t xml:space="preserve">Nonlapsing funds</w:t>
      </w:r>
    </w:p>
    <w:p>
      <w:pPr>
        <w:jc w:val="both"/>
        <w:spacing w:before="100" w:after="100"/>
        <w:ind w:start="360"/>
        <w:ind w:firstLine="360"/>
      </w:pPr>
      <w:r>
        <w:rPr/>
      </w:r>
      <w:r>
        <w:rPr/>
      </w:r>
      <w:r>
        <w:t xml:space="preserve">Any balance remaining in the General Assistance - Reimbursement to Cities and Towns program in the Department of Human Services at the end of any fiscal year must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673, Pt. 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§DD1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§4326. Nonlapsing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§4326. Nonlapsing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§4326. NONLAPSING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