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Head Start</w:t>
      </w:r>
    </w:p>
    <w:p>
      <w:pPr>
        <w:jc w:val="both"/>
        <w:spacing w:before="100" w:after="100"/>
        <w:ind w:start="360"/>
        <w:ind w:firstLine="360"/>
      </w:pPr>
      <w:r>
        <w:rPr/>
      </w:r>
      <w:r>
        <w:rPr/>
      </w:r>
      <w:r>
        <w:t xml:space="preserve">The Head Start program is administered by the Division of Purchased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§DDD13 (NEW). PL 1995, c. 502, §D10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§5312. Head Start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Head Start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§5312. HEAD START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