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5322</w:t>
        <w:t xml:space="preserve">.  </w:t>
      </w:r>
      <w:r>
        <w:rPr>
          <w:b/>
        </w:rPr>
        <w:t xml:space="preserve">Division responsibilities</w:t>
      </w:r>
    </w:p>
    <w:p>
      <w:pPr>
        <w:jc w:val="both"/>
        <w:spacing w:before="100" w:after="100"/>
        <w:ind w:start="360"/>
        <w:ind w:firstLine="360"/>
      </w:pPr>
      <w:r>
        <w:rPr/>
      </w:r>
      <w:r>
        <w:rPr/>
      </w:r>
      <w:r>
        <w:t xml:space="preserve">The division shall carry out the responsibilities of State Government related to planning and financing community services and community action agencies and shall administer state and federal community services programs and other block grants that may be available, including, but not limited to, the Community Services Block Grant.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§5322. Division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§5322. Division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§5322. DIVISION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