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565-A</w:t>
        <w:t xml:space="preserve">.  </w:t>
      </w:r>
      <w:r>
        <w:rPr>
          <w:b/>
        </w:rPr>
        <w:t xml:space="preserve">Coordination with State Radiation Control Agency</w:t>
      </w:r>
    </w:p>
    <w:p>
      <w:pPr>
        <w:jc w:val="both"/>
        <w:spacing w:before="100" w:after="100"/>
        <w:ind w:start="360"/>
        <w:ind w:firstLine="360"/>
      </w:pPr>
      <w:r>
        <w:rPr/>
      </w:r>
      <w:r>
        <w:rPr/>
      </w:r>
      <w:r>
        <w:t xml:space="preserve">The Health and Environmental Testing Laboratory shall provide laboratory services for environmental testing and analysis as necessary to implement the radiation protection services of the department conducted pursuant to </w:t>
      </w:r>
      <w:r>
        <w:t>section 680,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§5 (NEW). PL 1997, c. 686, §1 (AMD). PL 2005, c. 254,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§565-A. Coordination with State Radiation Control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§565-A. Coordination with State Radiation Control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§565-A. COORDINATION WITH STATE RADIATION CONTROL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