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w:t>
        <w:t xml:space="preserve">.  </w:t>
      </w:r>
      <w:r>
        <w:rPr>
          <w:b/>
        </w:rPr>
        <w:t xml:space="preserve">Report</w:t>
      </w:r>
    </w:p>
    <w:p>
      <w:pPr>
        <w:jc w:val="both"/>
        <w:spacing w:before="100" w:after="100"/>
        <w:ind w:start="360"/>
        <w:ind w:firstLine="360"/>
      </w:pPr>
      <w:r>
        <w:rPr/>
      </w:r>
      <w:r>
        <w:rPr/>
      </w:r>
      <w:r>
        <w:t xml:space="preserve">A report of services provided pursuant to this chapter shall be included in the annual Maine Social Services Report.</w:t>
      </w:r>
      <w:r>
        <w:t xml:space="preserve">  </w:t>
      </w:r>
      <w:r xmlns:wp="http://schemas.openxmlformats.org/drawingml/2010/wordprocessingDrawing" xmlns:w15="http://schemas.microsoft.com/office/word/2012/wordml">
        <w:rPr>
          <w:rFonts w:ascii="Arial" w:hAnsi="Arial" w:cs="Arial"/>
          <w:sz w:val="22"/>
          <w:szCs w:val="22"/>
        </w:rPr>
        <w:t xml:space="preserve">[PL 1989, c. 347, §11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§11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§6208.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§6208.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