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7264</w:t>
        <w:t xml:space="preserve">.  </w:t>
      </w:r>
      <w:r>
        <w:rPr>
          <w:b/>
        </w:rPr>
        <w:t xml:space="preserve">Technology and security - Article 4</w:t>
      </w:r>
    </w:p>
    <w:p>
      <w:pPr>
        <w:jc w:val="both"/>
        <w:spacing w:before="100" w:after="0"/>
        <w:ind w:start="360"/>
        <w:ind w:firstLine="360"/>
      </w:pPr>
      <w:r>
        <w:rPr>
          <w:b/>
        </w:rPr>
        <w:t>1</w:t>
        <w:t xml:space="preserve">.  </w:t>
      </w:r>
      <w:r>
        <w:rPr>
          <w:b/>
        </w:rPr>
        <w:t xml:space="preserve">Security requirements.</w:t>
        <w:t xml:space="preserve"> </w:t>
      </w:r>
      <w:r>
        <w:t xml:space="preserve"> </w:t>
      </w:r>
      <w:r>
        <w:t xml:space="preserve">The commission shall establish security requirements through rules for the transmission of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Open standards for technology infrastructure.</w:t>
        <w:t xml:space="preserve"> </w:t>
      </w:r>
      <w:r>
        <w:t xml:space="preserve"> </w:t>
      </w:r>
      <w:r>
        <w:t xml:space="preserve">The commission shall foster the adoption of open standards for the technology infrastructure that are vendor-neutral and technology-neutral.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Acquisition and operation of technology infrastructure.</w:t>
        <w:t xml:space="preserve"> </w:t>
      </w:r>
      <w:r>
        <w:t xml:space="preserve"> </w:t>
      </w:r>
      <w:r>
        <w:t xml:space="preserve">The commission is responsible for acquisition and operation of the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§7264. Technology and security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§7264. Technology and security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§7264. TECHNOLOGY AND SECURITY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