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§7269. Rule-making functions of the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§7269. RULE-MAKING FUNCTIONS OF THE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