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7273</w:t>
        <w:t xml:space="preserve">.  </w:t>
      </w:r>
      <w:r>
        <w:rPr>
          <w:b/>
        </w:rPr>
        <w:t xml:space="preserve">Severability and construction - Article 13</w:t>
      </w:r>
    </w:p>
    <w:p>
      <w:pPr>
        <w:jc w:val="both"/>
        <w:spacing w:before="100" w:after="0"/>
        <w:ind w:start="360"/>
        <w:ind w:firstLine="360"/>
      </w:pPr>
      <w:r>
        <w:rPr>
          <w:b/>
        </w:rPr>
        <w:t>1</w:t>
        <w:t xml:space="preserve">.  </w:t>
      </w:r>
      <w:r>
        <w:rPr>
          <w:b/>
        </w:rPr>
        <w:t xml:space="preserve">Severable.</w:t>
        <w:t xml:space="preserve"> </w:t>
      </w:r>
      <w:r>
        <w:t xml:space="preserve"> </w:t>
      </w:r>
      <w:r>
        <w:t xml:space="preserve">The provisions of this compact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Liberally construed.</w:t>
        <w:t xml:space="preserve"> </w:t>
      </w:r>
      <w:r>
        <w:t xml:space="preserve"> </w:t>
      </w:r>
      <w:r>
        <w:t xml:space="preserve">The provisions of this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§7273. Severability and construction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§7273. Severability and construction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§7273. SEVERABILITY AND CONSTRUCTION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