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7274</w:t>
        <w:t xml:space="preserve">.  </w:t>
      </w:r>
      <w:r>
        <w:rPr>
          <w:b/>
        </w:rPr>
        <w:t xml:space="preserve">Binding effect of compact and other laws - 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compact prevents the enforcement of any other law of a member state that is not inconsistent with this compact.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member states.</w:t>
      </w:r>
    </w:p>
    <w:p>
      <w:pPr>
        <w:jc w:val="both"/>
        <w:spacing w:before="100" w:after="0"/>
        <w:ind w:start="720"/>
      </w:pPr>
      <w:r>
        <w:rPr/>
        <w:t>A</w:t>
        <w:t xml:space="preserve">.  </w:t>
      </w:r>
      <w:r>
        <w:rPr/>
      </w:r>
      <w:r>
        <w:t xml:space="preserve">All agreements between the interstate commission and the member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In the event any provision of this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§7274. Binding effect of compact and other laws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§7274. Binding effect of compact and other laws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§7274. BINDING EFFECT OF COMPACT AND OTHER LAWS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