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7316</w:t>
        <w:t xml:space="preserve">.  </w:t>
      </w:r>
      <w:r>
        <w:rPr>
          <w:b/>
        </w:rPr>
        <w:t xml:space="preserve">Consolidation of long-term care services</w:t>
      </w:r>
    </w:p>
    <w:p>
      <w:pPr>
        <w:jc w:val="both"/>
        <w:spacing w:before="100" w:after="100"/>
        <w:ind w:start="360"/>
        <w:ind w:firstLine="360"/>
      </w:pPr>
      <w:r>
        <w:rPr/>
      </w:r>
      <w:r>
        <w:rPr/>
      </w:r>
      <w:r>
        <w:t xml:space="preserve">Beginning July 1, 2012, all long-term care services provided directly or indirectly under the MaineCare program or other state-funded programs by the department under this Title must be combined into one program, referred to in this chapter as "the program," with a single set of rules, coordinated criteria for assessment and qualifications and a single budget.</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§7316. Consolidation of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§7316. Consolidation of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§7316. CONSOLIDATION OF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