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Radiation incident plan</w:t>
      </w:r>
    </w:p>
    <w:p>
      <w:pPr>
        <w:jc w:val="both"/>
        <w:spacing w:before="100" w:after="100"/>
        <w:ind w:start="360"/>
        <w:ind w:firstLine="360"/>
      </w:pPr>
      <w:r>
        <w:rPr/>
      </w:r>
      <w:r>
        <w:rPr/>
      </w:r>
      <w:r>
        <w:t xml:space="preserve">The Commissioner of Health and Human Services shall formulate and keep current a radiation incident plan for this State, in accordance with the duty assumed pursuant to </w:t>
      </w:r>
      <w:r>
        <w:t>Article III, subsection 1</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§760. Radiation incident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Radiation incident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§760. RADIATION INCIDENT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