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7937</w:t>
        <w:t xml:space="preserve">.  </w:t>
      </w:r>
      <w:r>
        <w:rPr>
          <w:b/>
        </w:rPr>
        <w:t xml:space="preserve">Court order to have effect of license</w:t>
      </w:r>
    </w:p>
    <w:p>
      <w:pPr>
        <w:jc w:val="both"/>
        <w:spacing w:before="100" w:after="100"/>
        <w:ind w:start="360"/>
        <w:ind w:firstLine="360"/>
      </w:pPr>
      <w:r>
        <w:rPr/>
      </w:r>
      <w:r>
        <w:rPr/>
      </w:r>
      <w:r>
        <w:t xml:space="preserve">An order appointing a receiver under </w:t>
      </w:r>
      <w:r>
        <w:t>section 7933</w:t>
      </w:r>
      <w:r>
        <w:t xml:space="preserve"> has the effect of a license for the duration of the receivership.  The receiver is responsible to the court for the conduct of the long-term care facility, home health care provider, personal care agency, general hospital, specialty hospital, critical access hospital, ambulatory surgical center, hospice agency or end-stage renal disease unit during the receivership, and a violation of regulations governing the conduct of the long-term care facility, home health care provider, personal care agency, general hospital, specialty hospital, critical access hospital, ambulatory surgical center, hospice agency or end-stage renal disease unit, if not promptly corrected, must be reported by the department to the court.</w:t>
      </w:r>
      <w:r>
        <w:t xml:space="preserve">  </w:t>
      </w:r>
      <w:r xmlns:wp="http://schemas.openxmlformats.org/drawingml/2010/wordprocessingDrawing" xmlns:w15="http://schemas.microsoft.com/office/word/2012/wordml">
        <w:rPr>
          <w:rFonts w:ascii="Arial" w:hAnsi="Arial" w:cs="Arial"/>
          <w:sz w:val="22"/>
          <w:szCs w:val="22"/>
        </w:rPr>
        <w:t xml:space="preserve">[PL 2023, c. 309, §40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454 (NEW). PL 1995, c. 620, §8 (AMD). PL 1999, c. 384, §16 (AMD). PL 2023, c. 309, §40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§7937. Court order to have effect of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§7937. Court order to have effect of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§7937. COURT ORDER TO HAVE EFFECT OF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