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818</w:t>
        <w:t xml:space="preserve">.  </w:t>
      </w:r>
      <w:r>
        <w:rPr>
          <w:b/>
        </w:rPr>
        <w:t xml:space="preserve">Liability for expenses</w:t>
      </w:r>
    </w:p>
    <w:p>
      <w:pPr>
        <w:jc w:val="both"/>
        <w:spacing w:before="100" w:after="0"/>
        <w:ind w:start="360"/>
        <w:ind w:firstLine="360"/>
      </w:pPr>
      <w:r>
        <w:rPr>
          <w:b/>
        </w:rPr>
        <w:t>1</w:t>
        <w:t xml:space="preserve">.  </w:t>
      </w:r>
      <w:r>
        <w:rPr>
          <w:b/>
        </w:rPr>
        <w:t xml:space="preserve">Financial liability; individual.</w:t>
        <w:t xml:space="preserve"> </w:t>
      </w:r>
      <w:r>
        <w:t xml:space="preserve"> </w:t>
      </w:r>
      <w:r>
        <w:t xml:space="preserve">An individual is financially liable for any care provided pursuant to this subchapter to the individual to the extent that the individual has public or private insurance or otherwise has the ability to pay for that care.  An individual shall not be denied the care because of inability to pay for that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2</w:t>
        <w:t xml:space="preserve">.  </w:t>
      </w:r>
      <w:r>
        <w:rPr>
          <w:b/>
        </w:rPr>
        <w:t xml:space="preserve">Liability.</w:t>
        <w:t xml:space="preserve"> </w:t>
      </w:r>
      <w:r>
        <w:t xml:space="preserve"> </w:t>
      </w:r>
      <w:r>
        <w:t xml:space="preserve">The State shall pay, on certification by the commissioner, the expenses for care of an individual receiving care under this chapter who is not a resident of a municipality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3</w:t>
        <w:t xml:space="preserve">.  </w:t>
      </w:r>
      <w:r>
        <w:rPr>
          <w:b/>
        </w:rPr>
        <w:t xml:space="preserve">Subrogation.</w:t>
        <w:t xml:space="preserve"> </w:t>
      </w:r>
      <w:r>
        <w:t xml:space="preserve"> </w:t>
      </w:r>
      <w:r>
        <w:t xml:space="preserve">The State shall be subrogated to the rights of recovery which the individual may have against a liable 3rd party for the cost of care provided for the individual under this subchapter to the extent that the State has spent money for that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§818. Liability for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§818. Liability for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§818. LIABILITY FOR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