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Time requirements</w:t>
      </w:r>
    </w:p>
    <w:p>
      <w:pPr>
        <w:jc w:val="both"/>
        <w:spacing w:before="100" w:after="100"/>
        <w:ind w:start="360"/>
        <w:ind w:firstLine="360"/>
      </w:pPr>
      <w:r>
        <w:rPr/>
      </w:r>
      <w:r>
        <w:rPr/>
      </w:r>
      <w:r>
        <w:t xml:space="preserve">The reporting of a notifiable disease or condition must be made by telephone to the department immediately upon determination that a person has that disease and must be followed by a written report mailed to the department within 48 hours.</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§823. Time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Time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§823. TIME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