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8304-A</w:t>
        <w:t xml:space="preserve">.  </w:t>
      </w:r>
      <w:r>
        <w:rPr>
          <w:b/>
        </w:rPr>
        <w:t xml:space="preserve">Fire safety</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As an ongoing condition of licensure, the Commissioner of Public Safety must provide at least biennially to the department a written statement that the child care facility or family child care provider complies with applicable fire safety rules adopted pursuant to </w:t>
      </w:r>
      <w:r>
        <w:t>Title 25, section 2452</w:t>
      </w:r>
      <w:r>
        <w:t xml:space="preserve">.  The Commissioner of Public Safety shall adopt rules in accordance with the Maine Administrative Procedure Act to implement this subsection.  The rules must provide for at least the following.</w:t>
      </w:r>
    </w:p>
    <w:p>
      <w:pPr>
        <w:jc w:val="both"/>
        <w:spacing w:before="100" w:after="0"/>
        <w:ind w:start="720"/>
      </w:pPr>
      <w:r>
        <w:rPr/>
        <w:t>A</w:t>
        <w:t xml:space="preserve">.  </w:t>
      </w:r>
      <w:r>
        <w:rPr/>
      </w:r>
      <w:r>
        <w:t xml:space="preserve">The Commissioner of Public Safety shall issue a fire safety technician certificate to any person who successfully completes a training course established by the Department of Public Safety.  A person who receives a fire safety technician certificate pursuant to this paragraph may perform fire safety inspections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728, §13 (AMD).]</w:t>
      </w:r>
    </w:p>
    <w:p>
      <w:pPr>
        <w:jc w:val="both"/>
        <w:spacing w:before="100" w:after="0"/>
        <w:ind w:start="720"/>
      </w:pPr>
      <w:r>
        <w:rPr/>
        <w:t>B</w:t>
        <w:t xml:space="preserve">.  </w:t>
      </w:r>
      <w:r>
        <w:rPr/>
      </w:r>
      <w:r>
        <w:t xml:space="preserve">In addition to ongoing license requirements, inspection is required under this section whenever a child care facility or family child care provider changes or augments a heating system or makes major structural alterations to the facility or home.</w:t>
      </w:r>
      <w:r>
        <w:t xml:space="preserve">  </w:t>
      </w:r>
      <w:r xmlns:wp="http://schemas.openxmlformats.org/drawingml/2010/wordprocessingDrawing" xmlns:w15="http://schemas.microsoft.com/office/word/2012/wordml">
        <w:rPr>
          <w:rFonts w:ascii="Arial" w:hAnsi="Arial" w:cs="Arial"/>
          <w:sz w:val="22"/>
          <w:szCs w:val="22"/>
        </w:rPr>
        <w:t xml:space="preserve">[PL 2021, c. 35,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§27 (AMD).]</w:t>
      </w:r>
    </w:p>
    <w:p>
      <w:pPr>
        <w:jc w:val="both"/>
        <w:spacing w:before="100" w:after="0"/>
        <w:ind w:start="360"/>
        <w:ind w:firstLine="360"/>
      </w:pPr>
      <w:r>
        <w:rPr>
          <w:b/>
        </w:rPr>
        <w:t>2</w:t>
        <w:t xml:space="preserve">.  </w:t>
      </w:r>
      <w:r>
        <w:rPr>
          <w:b/>
        </w:rPr>
        <w:t xml:space="preserve">Fees.</w:t>
        <w:t xml:space="preserve"> </w:t>
      </w:r>
      <w:r>
        <w:t xml:space="preserve"> </w:t>
      </w:r>
      <w:r>
        <w:t xml:space="preserve">The department shall establish and pay reasonable fees to the Department of Public Safety for services rendered under this section.  Fees collected by the Department of Public Safety under this section must be deposited into a special revenue account to carry out the purposes of this section.  A balance remaining in the account at the end of the fiscal year may not lapse but must be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§13 (AMD).]</w:t>
      </w:r>
    </w:p>
    <w:p>
      <w:pPr>
        <w:jc w:val="both"/>
        <w:spacing w:before="100" w:after="0"/>
        <w:ind w:start="360"/>
        <w:ind w:firstLine="360"/>
      </w:pPr>
      <w:r>
        <w:rPr>
          <w:b/>
        </w:rPr>
        <w:t>3</w:t>
        <w:t xml:space="preserve">.  </w:t>
      </w:r>
      <w:r>
        <w:rPr>
          <w:b/>
        </w:rPr>
        <w:t xml:space="preserve">Inspectors.</w:t>
        <w:t xml:space="preserve"> </w:t>
      </w:r>
      <w:r>
        <w:t xml:space="preserve"> </w:t>
      </w:r>
      <w:r>
        <w:t xml:space="preserve">The Commissioner of Public Safety may appoint subject to the Civil Service Law employees needed to carry out the purposes of this section.  A person appointed pursuant to this subsection is under the administrative and supervisory direction of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§5 (NEW). PL 1997, c. 494, §13 (AMD). PL 1997, c. 494, §15 (AFF). PL 1997, c. 728, §13 (AMD). PL 2001, c. 645, §8 (AMD). PL 2005, c. 530, §11 (AMD). PL 2021, c. 35,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§8304-A. Fire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§8304-A. Fire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§8304-A. FIRE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