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8612</w:t>
        <w:t xml:space="preserve">.  </w:t>
      </w:r>
      <w:r>
        <w:rPr>
          <w:b/>
        </w:rPr>
        <w:t xml:space="preserve">Rule-making authority</w:t>
      </w:r>
    </w:p>
    <w:p>
      <w:pPr>
        <w:jc w:val="both"/>
        <w:spacing w:before="100" w:after="100"/>
        <w:ind w:start="360"/>
        <w:ind w:firstLine="360"/>
      </w:pPr>
      <w:r>
        <w:rPr/>
      </w:r>
      <w:r>
        <w:rPr/>
      </w:r>
      <w:r>
        <w:t xml:space="preserve">The council has the authority to adopt rules as necessary in accordance with the Maine Administrative Procedure Act, </w:t>
      </w:r>
      <w:r>
        <w:t>Title 5, chapter 375</w:t>
      </w:r>
      <w:r>
        <w:t xml:space="preserve">,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§8612.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§8612.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§8612.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