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8734</w:t>
        <w:t xml:space="preserve">.  </w:t>
      </w:r>
      <w:r>
        <w:rPr>
          <w:b/>
        </w:rPr>
        <w:t xml:space="preserve">Registration requirements</w:t>
      </w:r>
    </w:p>
    <w:p>
      <w:pPr>
        <w:jc w:val="both"/>
        <w:spacing w:before="100" w:after="100"/>
        <w:ind w:start="360"/>
        <w:ind w:firstLine="360"/>
      </w:pPr>
      <w:r>
        <w:rPr/>
      </w:r>
      <w:r>
        <w:rPr/>
      </w:r>
      <w:r>
        <w:t xml:space="preserve">Beginning January 1, 2020, manufacturers, wholesale drug distributors and pharmacy benefits managers subject to this subchapter shall register annually with the organization in a manner prescribed by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305,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§8734.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§8734.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§8734.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