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9002</w:t>
        <w:t xml:space="preserve">.  </w:t>
      </w:r>
      <w:r>
        <w:rPr>
          <w:b/>
        </w:rPr>
        <w:t xml:space="preserve">Rules</w:t>
      </w:r>
    </w:p>
    <w:p>
      <w:pPr>
        <w:jc w:val="both"/>
        <w:spacing w:before="100" w:after="100"/>
        <w:ind w:start="360"/>
        <w:ind w:firstLine="360"/>
      </w:pPr>
      <w:r>
        <w:rPr/>
      </w:r>
      <w:r>
        <w:rPr/>
      </w:r>
      <w:r>
        <w:t xml:space="preserve">The department shall adopt rules for veterans' adult day health care programs, which must include, but may not be limited to, rules pertaining to the health and safety of the eligible participants and staff, the quality of the program provided, the administration of medication and licensing procedures. Reimbursement to the provider of veterans' adult day health care must be at the rate of 65% of the MaineCare reimbursement for nursing facility care.  The department shall use as guidance for the rules those established by the United States Department of Veterans Affairs, 38 Code of Federal Regulations, </w:t>
      </w:r>
      <w:r>
        <w:t>Part 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