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veterans' adult day health care program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indicating that the program's facility is in compliance with the applicable fire safety provisions in </w:t>
      </w:r>
      <w:r>
        <w:t>subsection 2</w:t>
      </w:r>
      <w:r>
        <w:t xml:space="preserve"> and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100"/>
        <w:ind w:start="360"/>
        <w:ind w:firstLine="360"/>
      </w:pPr>
      <w:r>
        <w:rPr>
          <w:b/>
        </w:rPr>
        <w:t>2</w:t>
        <w:t xml:space="preserve">.  </w:t>
      </w:r>
      <w:r>
        <w:rPr>
          <w:b/>
        </w:rPr>
        <w:t xml:space="preserve">Life Safety Code.</w:t>
        <w:t xml:space="preserve"> </w:t>
      </w:r>
      <w:r>
        <w:t xml:space="preserve"> </w:t>
      </w:r>
      <w:r>
        <w:t xml:space="preserve">The written statement under </w:t>
      </w:r>
      <w:r>
        <w:t>subsection 1</w:t>
      </w:r>
      <w:r>
        <w:t xml:space="preserve"> must be furnished annually to the department and must indicate that the veterans' adult day health care program's facility is in compliance with the requirements of the National Fire Protection Association Life Safety Code that are specified in:</w:t>
      </w:r>
    </w:p>
    <w:p>
      <w:pPr>
        <w:jc w:val="both"/>
        <w:spacing w:before="100" w:after="0"/>
        <w:ind w:start="720"/>
      </w:pPr>
      <w:r>
        <w:rPr/>
        <w:t>A</w:t>
        <w:t xml:space="preserve">.  </w:t>
      </w:r>
      <w:r>
        <w:rPr/>
      </w:r>
      <w:r>
        <w:t xml:space="preserve">The provisions relating to family day care homes, if the veterans' adult day health care program has no more than 6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B</w:t>
        <w:t xml:space="preserve">.  </w:t>
      </w:r>
      <w:r>
        <w:rPr/>
      </w:r>
      <w:r>
        <w:t xml:space="preserve">The provisions relating to group day care homes, if the veterans' adult day health care program has at least 7 but no more than 12 adults per session; or</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C</w:t>
        <w:t xml:space="preserve">.  </w:t>
      </w:r>
      <w:r>
        <w:rPr/>
      </w:r>
      <w:r>
        <w:t xml:space="preserve">The provisions relating to child day care, if the veterans' adult day health care program has 13 or more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a municipal official for each inspection under this section.  Fees collected by the Department of Public Safety under this subsection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§9004.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§9004.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