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ACQUISITION OF PROPERTY FOR HIGHWAY PURPOSES</w:t>
      </w:r>
    </w:p>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paragraph A,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304. ACQUISITION OF PROPERTY FOR HIGHWAY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