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Return</w:t>
      </w:r>
    </w:p>
    <w:p>
      <w:pPr>
        <w:jc w:val="both"/>
        <w:spacing w:before="100" w:after="100"/>
        <w:ind w:start="360"/>
        <w:ind w:firstLine="360"/>
      </w:pPr>
      <w:r>
        <w:rPr/>
      </w:r>
      <w:r>
        <w:rPr/>
      </w:r>
      <w:r>
        <w:t xml:space="preserve">A return of the perambulation shall be made, describing the marks and monuments of such line and particularly describing any change of location or resetting of any monument as authorized in this subchapter, and such return shall be signed by the duly authorized representatives of both states and a copy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1969, c. 504,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§1113.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