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No expenses to be incurred until enactment of similar legislation by State of New Hampshire</w:t>
      </w:r>
    </w:p>
    <w:p>
      <w:pPr>
        <w:jc w:val="both"/>
        <w:spacing w:before="100" w:after="100"/>
        <w:ind w:start="360"/>
        <w:ind w:firstLine="360"/>
      </w:pPr>
      <w:r>
        <w:rPr/>
      </w:r>
      <w:r>
        <w:rPr/>
      </w:r>
      <w:r>
        <w:t xml:space="preserve">No work shall be done or money expended under this subchapter until similar legislation has been enacted by the State of New Hampshire.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§1116. No expenses to be incurred until enactment of similar legislation by State of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No expenses to be incurred until enactment of similar legislation by State of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§1116. NO EXPENSES TO BE INCURRED UNTIL ENACTMENT OF SIMILAR LEGISLATION BY STATE OF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