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§1613. BANK RESOLUTION; PLEDGE; BOND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