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§1617. State agency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State agency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§1617. STATE AGENCY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