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Eligibility for official business directional signs</w:t>
      </w:r>
    </w:p>
    <w:p>
      <w:pPr>
        <w:jc w:val="both"/>
        <w:spacing w:before="100" w:after="100"/>
        <w:ind w:start="360"/>
        <w:ind w:firstLine="360"/>
      </w:pPr>
      <w:r>
        <w:rPr/>
      </w:r>
      <w:r>
        <w:rPr/>
      </w:r>
      <w:r>
        <w:t xml:space="preserve">Lawful businesses and points of interest and cultural, historic, recreational, educational and religious facilities are eligible for official business directional signs, subject to this chapter and to rules adopted by the commissioner and to any federal law, rule or regulation affecting the allocation of federal highway funds or other funds to or for the benefit of the State or any agency or subdivision of the State or any agency.</w:t>
      </w:r>
      <w:r>
        <w:t xml:space="preserve">  </w:t>
      </w:r>
      <w:r xmlns:wp="http://schemas.openxmlformats.org/drawingml/2010/wordprocessingDrawing" xmlns:w15="http://schemas.microsoft.com/office/word/2012/wordml">
        <w:rPr>
          <w:rFonts w:ascii="Arial" w:hAnsi="Arial" w:cs="Arial"/>
          <w:sz w:val="22"/>
          <w:szCs w:val="22"/>
        </w:rPr>
        <w:t xml:space="preserve">[PL 2011, c. 344,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2011, c. 344,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§1909. Eligibility for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Eligibility for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§1909. ELIGIBILITY FOR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