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Agreements with United States</w:t>
      </w:r>
    </w:p>
    <w:p>
      <w:pPr>
        <w:jc w:val="both"/>
        <w:spacing w:before="100" w:after="100"/>
        <w:ind w:start="360"/>
        <w:ind w:firstLine="360"/>
      </w:pPr>
      <w:r>
        <w:rPr/>
      </w:r>
      <w:r>
        <w:rPr/>
      </w:r>
      <w:r>
        <w:t xml:space="preserve">The commissioner is authorized, empowered and directed to enter into agreements with the United States or its agencies and subdivisions to control signs in accordance with national standards, this chapter and the best interests of the State. Nothing in this chapter may abridge any agreements with the United States in force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§1923. Agreements with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Agreements with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§1923. AGREEMENTS WITH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