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1978</w:t>
        <w:t xml:space="preserve">.  </w:t>
      </w:r>
      <w:r>
        <w:rPr>
          <w:b/>
        </w:rPr>
        <w:t xml:space="preserve">Termination of the authority</w:t>
      </w:r>
    </w:p>
    <w:p>
      <w:pPr>
        <w:jc w:val="both"/>
        <w:spacing w:before="100" w:after="100"/>
        <w:ind w:start="360"/>
        <w:ind w:firstLine="360"/>
      </w:pPr>
      <w:r>
        <w:rPr/>
      </w:r>
      <w:r>
        <w:rPr/>
      </w:r>
      <w:r>
        <w:t xml:space="preserve">The authority shall not be dissolved until such time as: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360"/>
        <w:ind w:firstLine="360"/>
      </w:pPr>
      <w:r>
        <w:rPr>
          <w:b/>
        </w:rPr>
        <w:t>1</w:t>
        <w:t xml:space="preserve">.  </w:t>
      </w:r>
      <w:r>
        <w:rPr>
          <w:b/>
        </w:rPr>
        <w:t xml:space="preserve">Legislature provide for termination.</w:t>
        <w:t xml:space="preserve"> </w:t>
      </w:r>
      <w:r>
        <w:t xml:space="preserve"> </w:t>
      </w:r>
      <w:r>
        <w:t xml:space="preserve">The Legislature shall provide for its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All bonds, the premium, if any, and the interest thereon shall have been paid or a sufficient amount for the payment of all bonds and the interest to maturity or prior redemption date thereon shall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§1978. Termination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§1978. TERMINATION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