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Appointment</w:t>
      </w:r>
    </w:p>
    <w:p>
      <w:pPr>
        <w:jc w:val="both"/>
        <w:spacing w:before="100" w:after="100"/>
        <w:ind w:start="360"/>
        <w:ind w:firstLine="360"/>
      </w:pPr>
      <w:r>
        <w:rPr/>
      </w:r>
      <w:r>
        <w:rPr/>
      </w:r>
      <w:r>
        <w:t xml:space="preserve">The commissioner shall, subject to the Civil Service Law, appoint a civil engineer as chief engineer.</w:t>
      </w:r>
      <w:r>
        <w:t xml:space="preserve">  </w:t>
      </w:r>
      <w:r xmlns:wp="http://schemas.openxmlformats.org/drawingml/2010/wordprocessingDrawing" xmlns:w15="http://schemas.microsoft.com/office/word/2012/wordml">
        <w:rPr>
          <w:rFonts w:ascii="Arial" w:hAnsi="Arial" w:cs="Arial"/>
          <w:sz w:val="22"/>
          <w:szCs w:val="22"/>
        </w:rPr>
        <w:t xml:space="preserve">[PL 1985, c. 785, Pt. B, §103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§6 (RPR). PL 1981, c. 45, §1 (AMD). PL 1985, c. 785, §B103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§201.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