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2059</w:t>
        <w:t xml:space="preserve">.  </w:t>
      </w:r>
      <w:r>
        <w:rPr>
          <w:b/>
        </w:rPr>
        <w:t xml:space="preserve">Removing growth and opening way</w:t>
      </w:r>
    </w:p>
    <w:p>
      <w:pPr>
        <w:jc w:val="both"/>
        <w:spacing w:before="100" w:after="100"/>
        <w:ind w:start="360"/>
        <w:ind w:firstLine="360"/>
      </w:pPr>
      <w:r>
        <w:rPr/>
      </w:r>
      <w:r>
        <w:rPr/>
      </w:r>
      <w:r>
        <w:t xml:space="preserve">The owners of land taken under </w:t>
      </w:r>
      <w:r>
        <w:t>sections 2051</w:t>
      </w:r>
      <w:r>
        <w:t xml:space="preserve"> to </w:t>
      </w:r>
      <w:r>
        <w:t>2060</w:t>
      </w:r>
      <w:r>
        <w:t xml:space="preserve"> shall be allowed not exceeding one year after the proceedings regarding the location are finally closed to take off timber, wood or any erection thereon. A time not exceeding 2 years shall be allowed for making and opening the way.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§2059. Removing growth and opening 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§2059. Removing growth and opening way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§2059. REMOVING GROWTH AND OPENING 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