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Definition</w:t>
      </w:r>
    </w:p>
    <w:p>
      <w:pPr>
        <w:jc w:val="both"/>
        <w:spacing w:before="100" w:after="100"/>
        <w:ind w:start="360"/>
        <w:ind w:firstLine="360"/>
      </w:pPr>
      <w:r>
        <w:rPr/>
      </w:r>
      <w:r>
        <w:rPr/>
      </w:r>
      <w:r>
        <w:t xml:space="preserve">A controlled access highway is a highway on which, in the interest of safety and efficiency of operation, abutting property owners have no right of direct access and on which the type and location of all access connections are determined and controlled by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§301.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§301.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