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Purchase; prescription</w:t>
      </w:r>
    </w:p>
    <w:p>
      <w:pPr>
        <w:jc w:val="both"/>
        <w:spacing w:before="100" w:after="100"/>
        <w:ind w:start="360"/>
        <w:ind w:firstLine="360"/>
      </w:pPr>
      <w:r>
        <w:rPr/>
      </w:r>
      <w:r>
        <w:rPr/>
      </w:r>
      <w:r>
        <w:t xml:space="preserve">Nothing in this chapter shall be construed to abridge the authority of a municipality to acquire property or interests therein for highway purposes by purchase, or to modify the law relating to acquisition of property by a municipality through prescriptive use.</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§3030. Purchase; prescription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Purchase; prescription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§3030. PURCHASE; PRESCRIPTION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