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3357</w:t>
        <w:t xml:space="preserve">.  </w:t>
      </w:r>
      <w:r>
        <w:rPr>
          <w:b/>
        </w:rPr>
        <w:t xml:space="preserve">Relaying of pavement</w:t>
      </w:r>
    </w:p>
    <w:p>
      <w:pPr>
        <w:jc w:val="both"/>
        <w:spacing w:before="100" w:after="100"/>
        <w:ind w:start="360"/>
        <w:ind w:firstLine="360"/>
      </w:pPr>
      <w:r>
        <w:rPr/>
      </w:r>
      <w:r>
        <w:rPr/>
      </w:r>
      <w:r>
        <w:t xml:space="preserve">When any excavation is made in any paved public highway and the trench has been filled as required by </w:t>
      </w:r>
      <w:r>
        <w:t>sections 3355</w:t>
      </w:r>
      <w:r>
        <w:t xml:space="preserve"> and </w:t>
      </w:r>
      <w:r>
        <w:t>3356</w:t>
      </w:r>
      <w:r>
        <w:t xml:space="preserve">, the municipality shall relay the pavement or enter into an agreement for relaying of the pavement by the permittee. If the municipality relays the pavement, the cost of relaying the pavement, including materials, labor and inspection, must be paid out of any money in the municipal treasury standing to the credit of the regular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§3357. Relaying of pavement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§3357. RELAYING OF PAVEMENT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