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Failure to comply with commissioners' order; warrant of distress</w:t>
      </w:r>
    </w:p>
    <w:p>
      <w:pPr>
        <w:jc w:val="both"/>
        <w:spacing w:before="100" w:after="100"/>
        <w:ind w:start="360"/>
        <w:ind w:firstLine="360"/>
      </w:pPr>
      <w:r>
        <w:rPr/>
      </w:r>
      <w:r>
        <w:rPr/>
      </w:r>
      <w:r>
        <w:t xml:space="preserve">If the town neglects to make the repairs prescribed by the commissioners under </w:t>
      </w:r>
      <w:r>
        <w:t>section 3652</w:t>
      </w:r>
      <w:r>
        <w:t xml:space="preserve">, within the time fixed therefor in such notice to the town, they may cause it to be done by an agent, not one of themselves. Such agent shall cause the repairs to be made forthwith and shall render to the commissioners his account of disbursements and services in making the same. His account shall not be allowed without such notice to the town as the commissioners deem reasonable. When the account is allowed, the town becomes liable therefor, with the agent's expenses in procuring the allowance of his account and interest after such allowance, and said commissioners shall render judgment therefor against the town in favor of the agent. If a town neglects to pay such judgment for 30 days after demand, a warrant of distress shall be issued by the commissioners to collect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§3654. Failure to comply with commissioners' order; warrant of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Failure to comply with commissioners' order; warrant of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§3654. FAILURE TO COMPLY WITH COMMISSIONERS' ORDER; WARRANT OF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