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5121</w:t>
        <w:t xml:space="preserve">.  </w:t>
      </w:r>
      <w:r>
        <w:rPr>
          <w:b/>
        </w:rPr>
        <w:t xml:space="preserve">Fares and tolls established</w:t>
      </w:r>
    </w:p>
    <w:p>
      <w:pPr>
        <w:jc w:val="both"/>
        <w:spacing w:before="100" w:after="100"/>
        <w:ind w:start="360"/>
        <w:ind w:firstLine="360"/>
      </w:pPr>
      <w:r>
        <w:rPr/>
      </w:r>
      <w:r>
        <w:rPr/>
      </w:r>
      <w:r>
        <w:t xml:space="preserve">Any railroad corporation may establish and collect for its sole benefit, fares, tolls and charges upon all passengers and property conveyed and transported on its railroad, at such rates as may be determined by the directors of the railroad corporation and shall have a lien on its freight therefor, and may from time to time regulate by its directors the use of its road. The rates of fares, tolls, charges and regulations are at all times subject to alteration by the Legislature or by such officers or persons as the Legislature may appoint for the purpose, anything in the charter of the corporation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§5121. Fares and tolls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§5121. Fares and tolls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§5121. FARES AND TOLLS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