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w:t>
        <w:t xml:space="preserve">.  </w:t>
      </w:r>
      <w:r>
        <w:rPr>
          <w:b/>
        </w:rPr>
        <w:t xml:space="preserve">Equal facilities to all expresses</w:t>
      </w:r>
    </w:p>
    <w:p>
      <w:pPr>
        <w:jc w:val="both"/>
        <w:spacing w:before="100" w:after="100"/>
        <w:ind w:start="360"/>
        <w:ind w:firstLine="360"/>
      </w:pPr>
      <w:r>
        <w:rPr/>
      </w:r>
      <w:r>
        <w:rPr/>
      </w:r>
      <w:r>
        <w:t xml:space="preserve">Every railroad operating in the State shall furnish reasonable and equal facilities and accommodations to all persons engaged in express business for transportation of themselves, agents, servants, merchandise and other property; for the use of their stations, buildings and grounds; and for exchanges at points of junction with other roads, under a penalty of not more than $500, to be recovered by indictment and are liable to the aggrieved party in a civil action for damages.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§5143. Equal facilities to all expresses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 Equal facilities to all expresses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§5143. EQUAL FACILITIES TO ALL EXPRESSES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